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сентября 2015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01.09.2015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4 480 151,00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4 480 151,00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4 480 151,00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1 238 551,04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1 238 551,04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1 238 551,04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272 843,76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270 095,41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270 095,41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270 095,41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352 348,82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119 563,25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119 563,25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119 563,25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3 228,03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3 228,03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3 228,03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239 174,81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239 174,81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239 174,81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-9 617,27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-9 617,27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-9 617,27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13 993,10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509 733,45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509 733,45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509 733,45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15 132,04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494 601,41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494 601,41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494 601,41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176 941,90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317 659,51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15 247,41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13 147,21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3 241 599,96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2 579 800,00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4 576 763,48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4 576 763,48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4 576 763,48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4 098 700,00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4 098 700,00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4 098 700,00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2 555 456,08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2 555 456,08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2 555 456,08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580 473,94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549 342,48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426 351,70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426 351,70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426 351,70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122 990,78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122 990,78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122 990,78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1 957 352,14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1 957 352,14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1 957 352,14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2 882 300,00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1 730 705,48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2 686 900,00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1 623 284,53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1 227 943,51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1 227 943,51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1 227 943,51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617 400,00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617 400,00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617 400,00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395 341,02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395 341,02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395 341,02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203 516,09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122 379,09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33 582,28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33 582,28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33 582,28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69 640,95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69 640,95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69 640,95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81 137,00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36 810,52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28 398,82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28 398,82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28 398,82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8 411,70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8 411,70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8 411,70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22 342,32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22 342,32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22 342,32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22 133,32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1 576 589,90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1 576 589,90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1 576 589,90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854 323,42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854 323,42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854 323,42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628 350,70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193 372,72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182 872,72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149 090,67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149 090,67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149 090,67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14 380,00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14 380,00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14 380,00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32 600,00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1 024 900,00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21 253,14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96 612,48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96 612,48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96 612,48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96 612,48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-4 566 243,67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4 662 856,15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SKIFОсновной_бланк_формы_428_2d6c8681fdc34d41902d1d5cf82374fa</dc:title>
</cp:coreProperties>
</file>