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октября 2015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01.10.2015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7 788 300,00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7 788 300,00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7 788 300,00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5 547 967,74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5 547 967,74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5 547 967,74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1 881 307,75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1 881 307,75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1 881 307,75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286 643,17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283 894,61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283 894,61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283 894,61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-942,26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-942,26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-942,26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388 972,87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133 494,76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133 494,76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133 494,76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3 625,26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3 625,26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3 625,26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267 828,77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267 828,77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267 828,77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-15 975,92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-15 975,92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-15 975,92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1 080 908,24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1 080 908,24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1 080 908,24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23 376,44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1 057 531,80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1 057 531,80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1 057 531,80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199 141,90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858 389,90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16 582,12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14 481,92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39 747,00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39 747,00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39 747,00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32 700,00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3 666 659,99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2 814 300,00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792 859,99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7 969 547,68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7 969 547,68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7 969 547,68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5 278 081,62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5 278 081,62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5 278 081,62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2 845 034,17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2 845 034,17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2 845 034,17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642 829,89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611 317,73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472 844,76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472 844,76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472 844,76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138 472,97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138 472,97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138 472,97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31 512,16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10 389,56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10 389,56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10 389,56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3 124 700,00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3 124 700,00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3 124 700,00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2 183 574,28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2 183 574,28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2 183 574,28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2 777 800,00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1 915 000,18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2 582 400,00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1 806 284,82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2 027 100,00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2 027 100,00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2 027 100,00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1 375 712,27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1 375 712,27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1 375 712,27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430 572,55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430 572,55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430 572,55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108 715,36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36 792,96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36 792,96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36 792,96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296 700,00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225 443,53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187 400,00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133 346,03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38 687,64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38 687,64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38 687,64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71 622,53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71 622,53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71 622,53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10 656,98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10 656,98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10 656,98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92 097,50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44 943,48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35 003,28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35 003,28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35 003,28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9 940,20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9 940,20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9 940,20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25 108,32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25 108,32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25 108,32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24 899,32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1 593 589,90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1 593 589,90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1 593 589,90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1 071 952,77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1 071 952,77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1 071 952,77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822 468,88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212 808,89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202 308,89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164 527,84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164 527,84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164 527,84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18 379,00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18 379,00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18 379,00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36 675,00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1 205 200,00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24 164,88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269 886,12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269 886,12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269 886,12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-269 886,12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-7 788 300,00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-5 634 060,41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7 969 547,68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5 364 174,29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SKIFОсновной_бланк_формы_428_85ec4f0a1584491688c35d94cb2630c7</dc:title>
</cp:coreProperties>
</file>